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01FF" w14:textId="7CDA30DB" w:rsidR="00514140" w:rsidRPr="00514140" w:rsidRDefault="00514140" w:rsidP="00514140">
      <w:pPr>
        <w:pStyle w:val="BodyText"/>
        <w:spacing w:before="6" w:line="235" w:lineRule="auto"/>
        <w:ind w:right="119"/>
        <w:rPr>
          <w:lang w:val="el-GR"/>
        </w:rPr>
      </w:pPr>
      <w:r>
        <w:t xml:space="preserve">  </w:t>
      </w:r>
      <w:r w:rsidRPr="00514140">
        <w:rPr>
          <w:lang w:val="el-GR"/>
        </w:rPr>
        <w:t>Ενότητα 1</w:t>
      </w:r>
    </w:p>
    <w:p w14:paraId="19EB7113" w14:textId="77777777" w:rsidR="00514140" w:rsidRPr="00514140" w:rsidRDefault="00514140" w:rsidP="00514140">
      <w:pPr>
        <w:pStyle w:val="BodyText"/>
        <w:spacing w:before="6" w:line="235" w:lineRule="auto"/>
        <w:ind w:left="104" w:right="119"/>
        <w:rPr>
          <w:lang w:val="el-GR"/>
        </w:rPr>
      </w:pPr>
      <w:r w:rsidRPr="00514140">
        <w:rPr>
          <w:lang w:val="el-GR"/>
        </w:rPr>
        <w:t>Θεμέλια της πρώιμης παρέμβασης για παιδιά από τη γέννηση έως τα τρία έτη και τις οικογένειές τους</w:t>
      </w:r>
    </w:p>
    <w:p w14:paraId="785DACC8" w14:textId="77777777" w:rsidR="00514140" w:rsidRPr="00514140" w:rsidRDefault="00514140" w:rsidP="00514140">
      <w:pPr>
        <w:pStyle w:val="BodyText"/>
        <w:spacing w:before="6" w:line="235" w:lineRule="auto"/>
        <w:ind w:left="104" w:right="119"/>
        <w:rPr>
          <w:lang w:val="el-GR"/>
        </w:rPr>
      </w:pPr>
    </w:p>
    <w:p w14:paraId="3CBA6E6A" w14:textId="77777777" w:rsidR="00514140" w:rsidRPr="00514140" w:rsidRDefault="00514140" w:rsidP="00514140">
      <w:pPr>
        <w:pStyle w:val="BodyText"/>
        <w:spacing w:before="6" w:line="235" w:lineRule="auto"/>
        <w:ind w:left="104" w:right="119"/>
        <w:rPr>
          <w:lang w:val="el-GR"/>
        </w:rPr>
      </w:pPr>
    </w:p>
    <w:p w14:paraId="572AB8CA" w14:textId="77777777" w:rsidR="00514140" w:rsidRPr="00514140" w:rsidRDefault="00514140" w:rsidP="00514140">
      <w:pPr>
        <w:pStyle w:val="BodyText"/>
        <w:spacing w:before="6" w:line="235" w:lineRule="auto"/>
        <w:ind w:left="104" w:right="119"/>
        <w:rPr>
          <w:lang w:val="el-GR"/>
        </w:rPr>
      </w:pPr>
    </w:p>
    <w:p w14:paraId="1D0006E2" w14:textId="77777777" w:rsidR="00514140" w:rsidRPr="00514140" w:rsidRDefault="00514140" w:rsidP="00514140">
      <w:pPr>
        <w:pStyle w:val="BodyText"/>
        <w:spacing w:before="6" w:line="235" w:lineRule="auto"/>
        <w:ind w:left="104" w:right="119"/>
        <w:rPr>
          <w:lang w:val="el-GR"/>
        </w:rPr>
      </w:pPr>
      <w:r w:rsidRPr="00514140">
        <w:rPr>
          <w:lang w:val="el-GR"/>
        </w:rPr>
        <w:t xml:space="preserve">Καλώς ήρθατε στην Ενότητα 1, Θεμέλια της πρώιμης παρέμβασης για παιδιά από τη γέννηση έως τα τρία έτη και τις οικογένειές τους. Σκοπός αυτής της ενότητας είναι να σας βοηθήσει να κατανοήσετε καλύτερα το σύστημα πρώιμης παρέμβασης, συμπεριλαμβανομένης της αποστολής και των βασικών αρχών της πρώιμης παρέμβασης, των υφιστάμενων πρακτικών και της έρευνας πίσω από αυτές τις πρακτικές. </w:t>
      </w:r>
    </w:p>
    <w:p w14:paraId="2514DC5A" w14:textId="77777777" w:rsidR="00514140" w:rsidRPr="00514140" w:rsidRDefault="00514140" w:rsidP="00514140">
      <w:pPr>
        <w:pStyle w:val="BodyText"/>
        <w:spacing w:before="6" w:line="235" w:lineRule="auto"/>
        <w:ind w:left="104" w:right="119"/>
        <w:rPr>
          <w:lang w:val="el-GR"/>
        </w:rPr>
      </w:pPr>
    </w:p>
    <w:p w14:paraId="2C5630C7" w14:textId="77777777" w:rsidR="00514140" w:rsidRPr="00514140" w:rsidRDefault="00514140" w:rsidP="00514140">
      <w:pPr>
        <w:pStyle w:val="BodyText"/>
        <w:spacing w:before="6" w:line="235" w:lineRule="auto"/>
        <w:ind w:left="104" w:right="119"/>
        <w:rPr>
          <w:lang w:val="el-GR"/>
        </w:rPr>
      </w:pPr>
      <w:r w:rsidRPr="00514140">
        <w:rPr>
          <w:lang w:val="el-GR"/>
        </w:rPr>
        <w:t xml:space="preserve">Σκεφτείτε την εξής αναλογία: Ξέρετε να οδηγείτε και έχετε συνηθίσει να οδηγείτε στις Ηνωμένες Πολιτείες. Ωστόσο, τι θα γινόταν αν αποφασίζατε να οδηγήσετε ενώ βρίσκεστε σε διακοπές στη Μεγάλη Βρετανία. Δεν θα μπορούσατε να οδηγήσετε με τον τρόπο που οδηγούσατε πάντα. Αυτό συμβαίνει επειδή ο τρόπος με τον οποίο μάθατε να οδηγείτε δεν είναι "σωστός" και μάλιστα είναι αντίθετος με τους κανόνες και τους νόμους στη Μεγάλη Βρετανία. Θα μπορούσατε ακόμα να χρησιμοποιήσετε κάποιες από τις </w:t>
      </w:r>
      <w:proofErr w:type="spellStart"/>
      <w:r w:rsidRPr="00514140">
        <w:rPr>
          <w:lang w:val="el-GR"/>
        </w:rPr>
        <w:t>οδηγικές</w:t>
      </w:r>
      <w:proofErr w:type="spellEnd"/>
      <w:r w:rsidRPr="00514140">
        <w:rPr>
          <w:lang w:val="el-GR"/>
        </w:rPr>
        <w:t xml:space="preserve"> δεξιότητες που έχετε, αλλά για να οδηγήσετε στη Μεγάλη Βρετανία θα πρέπει να μάθετε επιπλέον κανόνες και νόμους.</w:t>
      </w:r>
    </w:p>
    <w:p w14:paraId="02EAB6A8" w14:textId="019A1219" w:rsidR="00514140" w:rsidRDefault="00514140" w:rsidP="00514140">
      <w:pPr>
        <w:pStyle w:val="BodyText"/>
        <w:spacing w:before="6" w:line="235" w:lineRule="auto"/>
        <w:ind w:left="104" w:right="119"/>
        <w:rPr>
          <w:lang w:val="el-GR"/>
        </w:rPr>
      </w:pPr>
      <w:r w:rsidRPr="00514140">
        <w:rPr>
          <w:lang w:val="el-GR"/>
        </w:rPr>
        <w:t>Αυτό είναι παρόμοιο με την εργασία στην πρώιμη παρέμβαση. Οι επαγγελματίες με ειδικές επαγγελματικές γνώσεις πρέπει να γνωρίζουν και να κατανοούν τους ισχύοντες κανόνες και νόμους στο πλαίσιο της πρώιμης παρέμβασης, ώστε να οδηγούμε όλοι στη "σωστή" πλευρά του δρόμου και να πηγαίνουμε προς την ίδια κατεύθυνση. Αυτό μπορεί να φαίνεται περίεργο στην αρχή, επειδή ίσως είναι διαφορετικό από αυτό που συνήθως κάνουμε και δεν το έχουμε συνηθίσει. Μόλις μάθουμε τους κανόνες και νιώσουμε πιο άνετα, οι κανόνες αποκτούν νόημα και η διαδικασία γίνεται δεύτερη φύση.</w:t>
      </w:r>
    </w:p>
    <w:p w14:paraId="7B1B6B6B" w14:textId="77777777" w:rsidR="00514140" w:rsidRDefault="00514140" w:rsidP="00514140">
      <w:pPr>
        <w:pStyle w:val="BodyText"/>
        <w:spacing w:before="6" w:line="235" w:lineRule="auto"/>
        <w:ind w:left="104" w:right="119"/>
        <w:rPr>
          <w:lang w:val="el-GR"/>
        </w:rPr>
      </w:pPr>
    </w:p>
    <w:p w14:paraId="58EC162E" w14:textId="738B2625" w:rsidR="00514140" w:rsidRPr="00514140" w:rsidRDefault="00514140" w:rsidP="00514140">
      <w:pPr>
        <w:pStyle w:val="BodyText"/>
        <w:spacing w:before="6" w:line="235" w:lineRule="auto"/>
        <w:ind w:left="104" w:right="119"/>
        <w:rPr>
          <w:lang w:val="el-GR"/>
        </w:rPr>
      </w:pPr>
      <w:r w:rsidRPr="00514140">
        <w:rPr>
          <w:lang w:val="el-GR"/>
        </w:rPr>
        <w:t>Τώρα που έχετε κάποιο προσανατολισμό σε αυτή την ενότητα, προχωρήστε στην Ενότητα 1, Θέμα 1: Πρώιμη παρέμβαση στο πλαίσιο του IDEA, Μέρος Γ. Αυτό το θέμα θα εξετάσει τα κυριότερα σημεία του τμήματος του νόμου για την εκπαίδευση ατόμων με αναπηρίες που ρυθμίζει την πρώιμη παρέμβαση, Μέρος Γ στις ΗΠΑ.</w:t>
      </w:r>
    </w:p>
    <w:sectPr w:rsidR="00514140" w:rsidRPr="00514140">
      <w:headerReference w:type="default" r:id="rId6"/>
      <w:footerReference w:type="default" r:id="rId7"/>
      <w:pgSz w:w="12240" w:h="15840"/>
      <w:pgMar w:top="1480" w:right="1600" w:bottom="620" w:left="1560" w:header="0" w:footer="42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BED3" w14:textId="77777777" w:rsidR="00AD114B" w:rsidRDefault="00AD114B">
      <w:r>
        <w:separator/>
      </w:r>
    </w:p>
  </w:endnote>
  <w:endnote w:type="continuationSeparator" w:id="0">
    <w:p w14:paraId="4DC80893" w14:textId="77777777" w:rsidR="00AD114B" w:rsidRDefault="00AD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8C42" w14:textId="77777777" w:rsidR="00E20465" w:rsidRDefault="00E20465">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7924" w14:textId="77777777" w:rsidR="00AD114B" w:rsidRDefault="00AD114B">
      <w:r>
        <w:separator/>
      </w:r>
    </w:p>
  </w:footnote>
  <w:footnote w:type="continuationSeparator" w:id="0">
    <w:p w14:paraId="36C373FF" w14:textId="77777777" w:rsidR="00AD114B" w:rsidRDefault="00AD1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4E59C" w14:textId="77777777" w:rsidR="00E20465" w:rsidRDefault="00000000">
    <w:pPr>
      <w:pStyle w:val="HeaderFooter"/>
    </w:pPr>
    <w:r>
      <w:rPr>
        <w:noProof/>
      </w:rPr>
      <mc:AlternateContent>
        <mc:Choice Requires="wps">
          <w:drawing>
            <wp:anchor distT="152400" distB="152400" distL="152400" distR="152400" simplePos="0" relativeHeight="251658240" behindDoc="1" locked="0" layoutInCell="1" allowOverlap="1" wp14:anchorId="73FDB08D" wp14:editId="666B08F5">
              <wp:simplePos x="0" y="0"/>
              <wp:positionH relativeFrom="page">
                <wp:posOffset>7324343</wp:posOffset>
              </wp:positionH>
              <wp:positionV relativeFrom="page">
                <wp:posOffset>9599358</wp:posOffset>
              </wp:positionV>
              <wp:extent cx="160021" cy="191136"/>
              <wp:effectExtent l="0" t="0" r="0" b="0"/>
              <wp:wrapNone/>
              <wp:docPr id="1073741825" name="officeArt object" descr="Rectangle"/>
              <wp:cNvGraphicFramePr/>
              <a:graphic xmlns:a="http://schemas.openxmlformats.org/drawingml/2006/main">
                <a:graphicData uri="http://schemas.microsoft.com/office/word/2010/wordprocessingShape">
                  <wps:wsp>
                    <wps:cNvSpPr txBox="1"/>
                    <wps:spPr>
                      <a:xfrm>
                        <a:off x="0" y="0"/>
                        <a:ext cx="160021" cy="191136"/>
                      </a:xfrm>
                      <a:prstGeom prst="rect">
                        <a:avLst/>
                      </a:prstGeom>
                      <a:noFill/>
                      <a:ln w="12700" cap="flat">
                        <a:noFill/>
                        <a:miter lim="400000"/>
                      </a:ln>
                      <a:effectLst/>
                    </wps:spPr>
                    <wps:txbx>
                      <w:txbxContent>
                        <w:p w14:paraId="33438309" w14:textId="77777777" w:rsidR="00E20465" w:rsidRDefault="00000000">
                          <w:pPr>
                            <w:pStyle w:val="BodyText"/>
                            <w:spacing w:line="285" w:lineRule="exact"/>
                            <w:ind w:left="60"/>
                          </w:pPr>
                          <w:r>
                            <w:fldChar w:fldCharType="begin"/>
                          </w:r>
                          <w:r>
                            <w:instrText xml:space="preserve"> PAGE </w:instrText>
                          </w:r>
                          <w:r>
                            <w:fldChar w:fldCharType="separate"/>
                          </w:r>
                          <w:r>
                            <w:t>1</w:t>
                          </w:r>
                          <w:r>
                            <w:fldChar w:fldCharType="end"/>
                          </w:r>
                        </w:p>
                      </w:txbxContent>
                    </wps:txbx>
                    <wps:bodyPr wrap="square" lIns="0" tIns="0" rIns="0" bIns="0" numCol="1" anchor="t">
                      <a:noAutofit/>
                    </wps:bodyPr>
                  </wps:wsp>
                </a:graphicData>
              </a:graphic>
            </wp:anchor>
          </w:drawing>
        </mc:Choice>
        <mc:Fallback>
          <w:pict>
            <v:shapetype w14:anchorId="73FDB08D" id="_x0000_t202" coordsize="21600,21600" o:spt="202" path="m,l,21600r21600,l21600,xe">
              <v:stroke joinstyle="miter"/>
              <v:path gradientshapeok="t" o:connecttype="rect"/>
            </v:shapetype>
            <v:shape id="officeArt object" o:spid="_x0000_s1026" type="#_x0000_t202" alt="Rectangle" style="position:absolute;margin-left:576.7pt;margin-top:755.85pt;width:12.6pt;height:15.0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" filled="f" stroked="f" strokeweight="1pt">
              <v:stroke miterlimit="4"/>
              <v:textbox inset="0,0,0,0">
                <w:txbxContent>
                  <w:p w14:paraId="33438309" w14:textId="77777777" w:rsidR="00E20465" w:rsidRDefault="00000000">
                    <w:pPr>
                      <w:pStyle w:val="BodyText"/>
                      <w:spacing w:line="285" w:lineRule="exact"/>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465"/>
    <w:rsid w:val="00514140"/>
    <w:rsid w:val="00AD114B"/>
    <w:rsid w:val="00E2046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B4939"/>
  <w15:docId w15:val="{54A561FE-34F4-4DD8-8DEF-16E5AE58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cs="Arial Unicode MS"/>
      <w:color w:val="000000"/>
      <w:sz w:val="26"/>
      <w:szCs w:val="26"/>
      <w14:textOutline w14:w="0" w14:cap="flat" w14:cmpd="sng" w14:algn="ctr">
        <w14:noFill/>
        <w14:prstDash w14:val="solid"/>
        <w14:bevel/>
      </w14:textOutline>
    </w:rPr>
  </w:style>
  <w:style w:type="paragraph" w:styleId="BodyText">
    <w:name w:val="Body Text"/>
    <w:pPr>
      <w:widowControl w:val="0"/>
    </w:pPr>
    <w:rPr>
      <w:rFonts w:ascii="Calibri" w:hAnsi="Calibri" w:cs="Arial Unicode MS"/>
      <w:color w:val="000000"/>
      <w:sz w:val="26"/>
      <w:szCs w:val="26"/>
      <w:u w:color="000000"/>
      <w:lang w:val="en-US"/>
    </w:rPr>
  </w:style>
  <w:style w:type="paragraph" w:customStyle="1" w:styleId="Body">
    <w:name w:val="Body"/>
    <w:pPr>
      <w:widowControl w:val="0"/>
    </w:pPr>
    <w:rPr>
      <w:rFonts w:ascii="Calibri" w:hAnsi="Calibri" w:cs="Arial Unicode MS"/>
      <w:color w:val="000000"/>
      <w:sz w:val="22"/>
      <w:szCs w:val="22"/>
      <w:u w:color="000000"/>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Times New Roman"/>
        <a:ea typeface="Times New Roman"/>
        <a:cs typeface="Times New Roman"/>
      </a:majorFont>
      <a:minorFont>
        <a:latin typeface="Times New Roman"/>
        <a:ea typeface="Times New Roman"/>
        <a:cs typeface="Times New Roman"/>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307</Words>
  <Characters>1661</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Giannoula Michailidou</cp:lastModifiedBy>
  <cp:revision>2</cp:revision>
  <dcterms:created xsi:type="dcterms:W3CDTF">2024-01-16T14:55:00Z</dcterms:created>
  <dcterms:modified xsi:type="dcterms:W3CDTF">2024-01-16T14:55:00Z</dcterms:modified>
</cp:coreProperties>
</file>